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64" w:rsidRDefault="00A06464" w:rsidP="00A06464">
      <w:pPr>
        <w:ind w:left="6480" w:firstLine="720"/>
        <w:rPr>
          <w:rFonts w:cs="Arial"/>
          <w:b/>
        </w:rPr>
      </w:pPr>
      <w:r>
        <w:rPr>
          <w:rFonts w:cs="Arial"/>
          <w:b/>
        </w:rPr>
        <w:t xml:space="preserve">Appendix </w:t>
      </w:r>
      <w:r>
        <w:rPr>
          <w:rFonts w:cs="Arial"/>
          <w:b/>
        </w:rPr>
        <w:t>'</w:t>
      </w:r>
      <w:r>
        <w:rPr>
          <w:rFonts w:cs="Arial"/>
          <w:b/>
        </w:rPr>
        <w:t>A</w:t>
      </w:r>
      <w:r>
        <w:rPr>
          <w:rFonts w:cs="Arial"/>
          <w:b/>
        </w:rPr>
        <w:t>'</w:t>
      </w:r>
      <w:bookmarkStart w:id="0" w:name="_GoBack"/>
      <w:bookmarkEnd w:id="0"/>
    </w:p>
    <w:p w:rsidR="00A06464" w:rsidRDefault="00A06464" w:rsidP="00A06464">
      <w:pPr>
        <w:rPr>
          <w:rFonts w:cs="Arial"/>
          <w:b/>
        </w:rPr>
      </w:pPr>
    </w:p>
    <w:p w:rsidR="00A06464" w:rsidRDefault="00A06464" w:rsidP="00A06464">
      <w:pPr>
        <w:rPr>
          <w:rFonts w:cs="Arial"/>
        </w:rPr>
      </w:pPr>
      <w:r w:rsidRPr="00EA50AF">
        <w:rPr>
          <w:rFonts w:cs="Arial"/>
          <w:b/>
        </w:rPr>
        <w:t>Financial Summary</w:t>
      </w:r>
      <w:r w:rsidRPr="00EA50AF">
        <w:rPr>
          <w:rFonts w:cs="Arial"/>
        </w:rPr>
        <w:t xml:space="preserve"> </w:t>
      </w:r>
    </w:p>
    <w:p w:rsidR="00A06464" w:rsidRPr="00EA50AF" w:rsidRDefault="00A06464" w:rsidP="00A06464">
      <w:pPr>
        <w:rPr>
          <w:rFonts w:cs="Arial"/>
        </w:rPr>
      </w:pPr>
    </w:p>
    <w:p w:rsidR="00A06464" w:rsidRDefault="00A06464" w:rsidP="00A06464">
      <w:pPr>
        <w:tabs>
          <w:tab w:val="left" w:pos="851"/>
          <w:tab w:val="left" w:pos="1418"/>
        </w:tabs>
        <w:rPr>
          <w:rFonts w:cs="Arial"/>
        </w:rPr>
      </w:pPr>
      <w:r w:rsidRPr="00B22081">
        <w:rPr>
          <w:rFonts w:cs="Arial"/>
        </w:rPr>
        <w:t>The table below gives the County Council’s financial position for 2015/16 as of the end of Quarter 3</w:t>
      </w:r>
      <w:r>
        <w:rPr>
          <w:rFonts w:cs="Arial"/>
        </w:rPr>
        <w:t xml:space="preserve">. </w:t>
      </w:r>
    </w:p>
    <w:p w:rsidR="00A06464" w:rsidRPr="00B22081" w:rsidRDefault="00A06464" w:rsidP="00A06464">
      <w:pPr>
        <w:tabs>
          <w:tab w:val="left" w:pos="851"/>
          <w:tab w:val="left" w:pos="1418"/>
        </w:tabs>
        <w:rPr>
          <w:rFonts w:cs="Arial"/>
        </w:rPr>
      </w:pPr>
      <w:r>
        <w:rPr>
          <w:rFonts w:cs="Arial"/>
        </w:rPr>
        <w:t xml:space="preserve">Note: </w:t>
      </w:r>
      <w:r w:rsidRPr="00B22081">
        <w:rPr>
          <w:rFonts w:cs="Arial"/>
        </w:rPr>
        <w:t>This is based largely on financial data at the end of November 2015.</w:t>
      </w:r>
    </w:p>
    <w:p w:rsidR="00A06464" w:rsidRPr="00B22081" w:rsidRDefault="00A06464" w:rsidP="00A06464">
      <w:pPr>
        <w:tabs>
          <w:tab w:val="left" w:pos="851"/>
          <w:tab w:val="left" w:pos="1418"/>
        </w:tabs>
        <w:rPr>
          <w:rFonts w:cs="Arial"/>
        </w:rPr>
      </w:pPr>
    </w:p>
    <w:tbl>
      <w:tblPr>
        <w:tblW w:w="10211" w:type="dxa"/>
        <w:jc w:val="center"/>
        <w:tblLayout w:type="fixed"/>
        <w:tblLook w:val="04A0" w:firstRow="1" w:lastRow="0" w:firstColumn="1" w:lastColumn="0" w:noHBand="0" w:noVBand="1"/>
      </w:tblPr>
      <w:tblGrid>
        <w:gridCol w:w="603"/>
        <w:gridCol w:w="3215"/>
        <w:gridCol w:w="1324"/>
        <w:gridCol w:w="1352"/>
        <w:gridCol w:w="1283"/>
        <w:gridCol w:w="1217"/>
        <w:gridCol w:w="1217"/>
      </w:tblGrid>
      <w:tr w:rsidR="00A06464" w:rsidRPr="00322F1E" w:rsidTr="009A4A31">
        <w:trPr>
          <w:trHeight w:val="1619"/>
          <w:jc w:val="center"/>
        </w:trPr>
        <w:tc>
          <w:tcPr>
            <w:tcW w:w="603" w:type="dxa"/>
            <w:tcBorders>
              <w:top w:val="single" w:sz="8" w:space="0" w:color="auto"/>
              <w:left w:val="single" w:sz="8" w:space="0" w:color="auto"/>
              <w:bottom w:val="nil"/>
              <w:right w:val="single" w:sz="4"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Ref</w:t>
            </w:r>
          </w:p>
        </w:tc>
        <w:tc>
          <w:tcPr>
            <w:tcW w:w="3215" w:type="dxa"/>
            <w:tcBorders>
              <w:top w:val="single" w:sz="8" w:space="0" w:color="auto"/>
              <w:left w:val="nil"/>
              <w:bottom w:val="nil"/>
              <w:right w:val="single" w:sz="8" w:space="0" w:color="auto"/>
            </w:tcBorders>
            <w:shd w:val="clear" w:color="000000" w:fill="F2F2F2"/>
            <w:vAlign w:val="center"/>
            <w:hideMark/>
          </w:tcPr>
          <w:p w:rsidR="00A06464" w:rsidRPr="00322F1E" w:rsidRDefault="00A06464" w:rsidP="009A4A31">
            <w:pPr>
              <w:rPr>
                <w:rFonts w:cs="Arial"/>
                <w:b/>
                <w:bCs/>
              </w:rPr>
            </w:pPr>
            <w:r w:rsidRPr="00322F1E">
              <w:rPr>
                <w:rFonts w:cs="Arial"/>
                <w:b/>
                <w:bCs/>
              </w:rPr>
              <w:t>Service Grouping</w:t>
            </w:r>
          </w:p>
        </w:tc>
        <w:tc>
          <w:tcPr>
            <w:tcW w:w="1324" w:type="dxa"/>
            <w:tcBorders>
              <w:top w:val="single" w:sz="8" w:space="0" w:color="auto"/>
              <w:left w:val="nil"/>
              <w:bottom w:val="nil"/>
              <w:right w:val="single" w:sz="8"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Revised Annual Budget</w:t>
            </w:r>
          </w:p>
        </w:tc>
        <w:tc>
          <w:tcPr>
            <w:tcW w:w="1352" w:type="dxa"/>
            <w:tcBorders>
              <w:top w:val="single" w:sz="8" w:space="0" w:color="auto"/>
              <w:left w:val="nil"/>
              <w:bottom w:val="nil"/>
              <w:right w:val="single" w:sz="8"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Previous CABINET Forecast</w:t>
            </w:r>
          </w:p>
          <w:p w:rsidR="00A06464" w:rsidRPr="00322F1E" w:rsidRDefault="00A06464" w:rsidP="009A4A31">
            <w:pPr>
              <w:jc w:val="center"/>
              <w:rPr>
                <w:rFonts w:cs="Arial"/>
                <w:b/>
                <w:bCs/>
              </w:rPr>
            </w:pPr>
            <w:r w:rsidRPr="00322F1E">
              <w:rPr>
                <w:rFonts w:cs="Arial"/>
                <w:b/>
                <w:bCs/>
              </w:rPr>
              <w:t>Variance</w:t>
            </w:r>
          </w:p>
        </w:tc>
        <w:tc>
          <w:tcPr>
            <w:tcW w:w="1283" w:type="dxa"/>
            <w:tcBorders>
              <w:top w:val="single" w:sz="8" w:space="0" w:color="auto"/>
              <w:left w:val="nil"/>
              <w:bottom w:val="nil"/>
              <w:right w:val="single" w:sz="4"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Current CABINET Forecast</w:t>
            </w:r>
          </w:p>
        </w:tc>
        <w:tc>
          <w:tcPr>
            <w:tcW w:w="1217" w:type="dxa"/>
            <w:tcBorders>
              <w:top w:val="single" w:sz="8" w:space="0" w:color="auto"/>
              <w:left w:val="nil"/>
              <w:bottom w:val="nil"/>
              <w:right w:val="nil"/>
            </w:tcBorders>
            <w:shd w:val="clear" w:color="000000" w:fill="BFBFBF"/>
            <w:vAlign w:val="center"/>
            <w:hideMark/>
          </w:tcPr>
          <w:p w:rsidR="00A06464" w:rsidRPr="00322F1E" w:rsidRDefault="00A06464" w:rsidP="009A4A31">
            <w:pPr>
              <w:jc w:val="center"/>
              <w:rPr>
                <w:rFonts w:cs="Arial"/>
                <w:b/>
                <w:bCs/>
              </w:rPr>
            </w:pPr>
            <w:r w:rsidRPr="00322F1E">
              <w:rPr>
                <w:rFonts w:cs="Arial"/>
                <w:b/>
                <w:bCs/>
              </w:rPr>
              <w:t>Current Period</w:t>
            </w:r>
          </w:p>
          <w:p w:rsidR="00A06464" w:rsidRPr="00322F1E" w:rsidRDefault="00A06464" w:rsidP="009A4A31">
            <w:pPr>
              <w:jc w:val="center"/>
              <w:rPr>
                <w:rFonts w:cs="Arial"/>
                <w:b/>
                <w:bCs/>
              </w:rPr>
            </w:pPr>
            <w:r w:rsidRPr="00322F1E">
              <w:rPr>
                <w:rFonts w:cs="Arial"/>
                <w:b/>
                <w:bCs/>
              </w:rPr>
              <w:t>Forecast Variance</w:t>
            </w:r>
          </w:p>
        </w:tc>
        <w:tc>
          <w:tcPr>
            <w:tcW w:w="1217" w:type="dxa"/>
            <w:tcBorders>
              <w:top w:val="single" w:sz="8" w:space="0" w:color="auto"/>
              <w:left w:val="single" w:sz="4" w:space="0" w:color="auto"/>
              <w:bottom w:val="nil"/>
              <w:right w:val="single" w:sz="8"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Current Period Forecast Variance</w:t>
            </w:r>
          </w:p>
        </w:tc>
      </w:tr>
      <w:tr w:rsidR="00A06464" w:rsidRPr="00322F1E" w:rsidTr="009A4A31">
        <w:trPr>
          <w:trHeight w:val="80"/>
          <w:jc w:val="center"/>
        </w:trPr>
        <w:tc>
          <w:tcPr>
            <w:tcW w:w="603" w:type="dxa"/>
            <w:tcBorders>
              <w:top w:val="nil"/>
              <w:left w:val="single" w:sz="8" w:space="0" w:color="auto"/>
              <w:bottom w:val="single" w:sz="4" w:space="0" w:color="auto"/>
              <w:right w:val="single" w:sz="4"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 </w:t>
            </w:r>
          </w:p>
        </w:tc>
        <w:tc>
          <w:tcPr>
            <w:tcW w:w="3215" w:type="dxa"/>
            <w:tcBorders>
              <w:top w:val="nil"/>
              <w:left w:val="nil"/>
              <w:bottom w:val="single" w:sz="4" w:space="0" w:color="auto"/>
              <w:right w:val="single" w:sz="8"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 </w:t>
            </w:r>
          </w:p>
        </w:tc>
        <w:tc>
          <w:tcPr>
            <w:tcW w:w="1324" w:type="dxa"/>
            <w:tcBorders>
              <w:top w:val="nil"/>
              <w:left w:val="nil"/>
              <w:bottom w:val="single" w:sz="4" w:space="0" w:color="auto"/>
              <w:right w:val="single" w:sz="8"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 </w:t>
            </w:r>
          </w:p>
        </w:tc>
        <w:tc>
          <w:tcPr>
            <w:tcW w:w="1352" w:type="dxa"/>
            <w:tcBorders>
              <w:top w:val="nil"/>
              <w:left w:val="nil"/>
              <w:bottom w:val="single" w:sz="4" w:space="0" w:color="auto"/>
              <w:right w:val="single" w:sz="8"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QTR 2</w:t>
            </w:r>
          </w:p>
        </w:tc>
        <w:tc>
          <w:tcPr>
            <w:tcW w:w="1283" w:type="dxa"/>
            <w:tcBorders>
              <w:top w:val="nil"/>
              <w:left w:val="nil"/>
              <w:bottom w:val="single" w:sz="4" w:space="0" w:color="auto"/>
              <w:right w:val="single" w:sz="4"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QTR 3</w:t>
            </w:r>
          </w:p>
        </w:tc>
        <w:tc>
          <w:tcPr>
            <w:tcW w:w="1217" w:type="dxa"/>
            <w:tcBorders>
              <w:top w:val="nil"/>
              <w:left w:val="nil"/>
              <w:bottom w:val="single" w:sz="4" w:space="0" w:color="auto"/>
              <w:right w:val="nil"/>
            </w:tcBorders>
            <w:shd w:val="clear" w:color="000000" w:fill="BFBFBF"/>
            <w:vAlign w:val="center"/>
            <w:hideMark/>
          </w:tcPr>
          <w:p w:rsidR="00A06464" w:rsidRPr="00322F1E" w:rsidRDefault="00A06464" w:rsidP="009A4A31">
            <w:pPr>
              <w:jc w:val="center"/>
              <w:rPr>
                <w:rFonts w:cs="Arial"/>
                <w:b/>
                <w:bCs/>
              </w:rPr>
            </w:pPr>
            <w:r w:rsidRPr="00322F1E">
              <w:rPr>
                <w:rFonts w:cs="Arial"/>
                <w:b/>
                <w:bCs/>
              </w:rPr>
              <w:t>QTR 3</w:t>
            </w:r>
          </w:p>
        </w:tc>
        <w:tc>
          <w:tcPr>
            <w:tcW w:w="1217" w:type="dxa"/>
            <w:tcBorders>
              <w:top w:val="nil"/>
              <w:left w:val="single" w:sz="4" w:space="0" w:color="auto"/>
              <w:bottom w:val="single" w:sz="4" w:space="0" w:color="auto"/>
              <w:right w:val="single" w:sz="8" w:space="0" w:color="auto"/>
            </w:tcBorders>
            <w:shd w:val="clear" w:color="000000" w:fill="BFBFBF"/>
            <w:vAlign w:val="center"/>
            <w:hideMark/>
          </w:tcPr>
          <w:p w:rsidR="00A06464" w:rsidRPr="00322F1E" w:rsidRDefault="00A06464" w:rsidP="009A4A31">
            <w:pPr>
              <w:jc w:val="center"/>
              <w:rPr>
                <w:rFonts w:cs="Arial"/>
                <w:b/>
                <w:bCs/>
              </w:rPr>
            </w:pPr>
          </w:p>
        </w:tc>
      </w:tr>
      <w:tr w:rsidR="00A06464" w:rsidRPr="00322F1E" w:rsidTr="009A4A31">
        <w:trPr>
          <w:trHeight w:val="261"/>
          <w:jc w:val="center"/>
        </w:trPr>
        <w:tc>
          <w:tcPr>
            <w:tcW w:w="603" w:type="dxa"/>
            <w:tcBorders>
              <w:top w:val="nil"/>
              <w:left w:val="single" w:sz="8" w:space="0" w:color="auto"/>
              <w:bottom w:val="single" w:sz="4" w:space="0" w:color="auto"/>
              <w:right w:val="single" w:sz="4"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 </w:t>
            </w:r>
          </w:p>
        </w:tc>
        <w:tc>
          <w:tcPr>
            <w:tcW w:w="3215" w:type="dxa"/>
            <w:tcBorders>
              <w:top w:val="nil"/>
              <w:left w:val="nil"/>
              <w:bottom w:val="single" w:sz="4" w:space="0" w:color="auto"/>
              <w:right w:val="single" w:sz="8"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 </w:t>
            </w:r>
          </w:p>
        </w:tc>
        <w:tc>
          <w:tcPr>
            <w:tcW w:w="1324" w:type="dxa"/>
            <w:tcBorders>
              <w:top w:val="nil"/>
              <w:left w:val="nil"/>
              <w:bottom w:val="single" w:sz="4" w:space="0" w:color="auto"/>
              <w:right w:val="single" w:sz="8" w:space="0" w:color="auto"/>
            </w:tcBorders>
            <w:shd w:val="clear" w:color="000000" w:fill="F2F2F2"/>
            <w:vAlign w:val="center"/>
            <w:hideMark/>
          </w:tcPr>
          <w:p w:rsidR="00A06464" w:rsidRPr="00322F1E" w:rsidRDefault="00A06464" w:rsidP="009A4A31">
            <w:pPr>
              <w:jc w:val="center"/>
              <w:rPr>
                <w:rFonts w:cs="Arial"/>
                <w:b/>
                <w:bCs/>
              </w:rPr>
            </w:pPr>
            <w:r w:rsidRPr="00322F1E">
              <w:rPr>
                <w:rFonts w:cs="Arial"/>
                <w:b/>
                <w:bCs/>
              </w:rPr>
              <w:t>£m</w:t>
            </w:r>
          </w:p>
        </w:tc>
        <w:tc>
          <w:tcPr>
            <w:tcW w:w="1352" w:type="dxa"/>
            <w:tcBorders>
              <w:top w:val="nil"/>
              <w:left w:val="nil"/>
              <w:bottom w:val="single" w:sz="4" w:space="0" w:color="auto"/>
              <w:right w:val="single" w:sz="8"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£m</w:t>
            </w:r>
          </w:p>
        </w:tc>
        <w:tc>
          <w:tcPr>
            <w:tcW w:w="1283" w:type="dxa"/>
            <w:tcBorders>
              <w:top w:val="nil"/>
              <w:left w:val="nil"/>
              <w:bottom w:val="single" w:sz="4" w:space="0" w:color="auto"/>
              <w:right w:val="single" w:sz="4"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£m</w:t>
            </w:r>
          </w:p>
        </w:tc>
        <w:tc>
          <w:tcPr>
            <w:tcW w:w="1217" w:type="dxa"/>
            <w:tcBorders>
              <w:top w:val="nil"/>
              <w:left w:val="nil"/>
              <w:bottom w:val="single" w:sz="4" w:space="0" w:color="auto"/>
              <w:right w:val="nil"/>
            </w:tcBorders>
            <w:shd w:val="clear" w:color="000000" w:fill="BFBFBF"/>
            <w:vAlign w:val="center"/>
            <w:hideMark/>
          </w:tcPr>
          <w:p w:rsidR="00A06464" w:rsidRPr="00322F1E" w:rsidRDefault="00A06464" w:rsidP="009A4A31">
            <w:pPr>
              <w:jc w:val="center"/>
              <w:rPr>
                <w:rFonts w:cs="Arial"/>
                <w:b/>
                <w:bCs/>
              </w:rPr>
            </w:pPr>
            <w:r w:rsidRPr="00322F1E">
              <w:rPr>
                <w:rFonts w:cs="Arial"/>
                <w:b/>
                <w:bCs/>
              </w:rPr>
              <w:t>£m</w:t>
            </w:r>
          </w:p>
        </w:tc>
        <w:tc>
          <w:tcPr>
            <w:tcW w:w="1217" w:type="dxa"/>
            <w:tcBorders>
              <w:top w:val="nil"/>
              <w:left w:val="single" w:sz="4" w:space="0" w:color="auto"/>
              <w:bottom w:val="single" w:sz="4" w:space="0" w:color="auto"/>
              <w:right w:val="single" w:sz="8" w:space="0" w:color="auto"/>
            </w:tcBorders>
            <w:shd w:val="clear" w:color="000000" w:fill="BFBFBF"/>
            <w:vAlign w:val="center"/>
            <w:hideMark/>
          </w:tcPr>
          <w:p w:rsidR="00A06464" w:rsidRPr="00322F1E" w:rsidRDefault="00A06464" w:rsidP="009A4A31">
            <w:pPr>
              <w:jc w:val="center"/>
              <w:rPr>
                <w:rFonts w:cs="Arial"/>
                <w:b/>
                <w:bCs/>
              </w:rPr>
            </w:pPr>
            <w:r w:rsidRPr="00322F1E">
              <w:rPr>
                <w:rFonts w:cs="Arial"/>
                <w:b/>
                <w:bCs/>
              </w:rPr>
              <w:t>%</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3.1</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ADULTS SERVICES </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292.148</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19.274</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311.292</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19.144</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7%</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3.2</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CHILDRENS SERVICES </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103.618</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5.010</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106.428</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2.810</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3%</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3.3</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COMMUNITY SERVICES</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168.535</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-0.753</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164.213</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-4.322</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-3%</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3.4</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PUBLIC HEALTH &amp; WELLBEING </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29.559</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2.880</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31.297</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1.738</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6%</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3.5</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LANCASHIRE PENSION FUND </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-1.842</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0.029</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-1.792</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0.050</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-3%</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3.6</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COMMISSIONING </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37.700</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0.820</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36.077</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-1.623</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-4%</w:t>
            </w:r>
          </w:p>
        </w:tc>
      </w:tr>
      <w:tr w:rsidR="00A06464" w:rsidRPr="00322F1E" w:rsidTr="009A4A31">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3.7</w:t>
            </w:r>
          </w:p>
        </w:tc>
        <w:tc>
          <w:tcPr>
            <w:tcW w:w="3215"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DEVELOPMENT AND CORPORATE SERVICES </w:t>
            </w:r>
          </w:p>
        </w:tc>
        <w:tc>
          <w:tcPr>
            <w:tcW w:w="1324"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35.393</w:t>
            </w:r>
          </w:p>
        </w:tc>
        <w:tc>
          <w:tcPr>
            <w:tcW w:w="1352" w:type="dxa"/>
            <w:tcBorders>
              <w:top w:val="nil"/>
              <w:left w:val="nil"/>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3.472</w:t>
            </w:r>
          </w:p>
        </w:tc>
        <w:tc>
          <w:tcPr>
            <w:tcW w:w="1283" w:type="dxa"/>
            <w:tcBorders>
              <w:top w:val="nil"/>
              <w:left w:val="nil"/>
              <w:bottom w:val="single" w:sz="4" w:space="0" w:color="auto"/>
              <w:right w:val="single" w:sz="4" w:space="0" w:color="auto"/>
            </w:tcBorders>
            <w:shd w:val="clear" w:color="000000" w:fill="FFFFFF"/>
            <w:vAlign w:val="center"/>
            <w:hideMark/>
          </w:tcPr>
          <w:p w:rsidR="00A06464" w:rsidRPr="00322F1E" w:rsidRDefault="00A06464" w:rsidP="009A4A31">
            <w:pPr>
              <w:jc w:val="right"/>
              <w:rPr>
                <w:rFonts w:cs="Arial"/>
              </w:rPr>
            </w:pPr>
            <w:r w:rsidRPr="00322F1E">
              <w:t>40.142</w:t>
            </w:r>
          </w:p>
        </w:tc>
        <w:tc>
          <w:tcPr>
            <w:tcW w:w="1217" w:type="dxa"/>
            <w:tcBorders>
              <w:top w:val="nil"/>
              <w:left w:val="nil"/>
              <w:bottom w:val="single" w:sz="4" w:space="0" w:color="auto"/>
              <w:right w:val="nil"/>
            </w:tcBorders>
            <w:shd w:val="clear" w:color="000000" w:fill="FFFFFF"/>
            <w:vAlign w:val="center"/>
            <w:hideMark/>
          </w:tcPr>
          <w:p w:rsidR="00A06464" w:rsidRPr="00322F1E" w:rsidRDefault="00A06464" w:rsidP="009A4A31">
            <w:pPr>
              <w:jc w:val="right"/>
              <w:rPr>
                <w:rFonts w:cs="Arial"/>
              </w:rPr>
            </w:pPr>
            <w:r w:rsidRPr="00322F1E">
              <w:t>4.749</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rsidR="00A06464" w:rsidRPr="00322F1E" w:rsidRDefault="00A06464" w:rsidP="009A4A31">
            <w:pPr>
              <w:jc w:val="right"/>
              <w:rPr>
                <w:rFonts w:cs="Arial"/>
              </w:rPr>
            </w:pPr>
            <w:r w:rsidRPr="00322F1E">
              <w:t>13%</w:t>
            </w:r>
          </w:p>
        </w:tc>
      </w:tr>
      <w:tr w:rsidR="00A06464" w:rsidRPr="00322F1E" w:rsidTr="009A4A31">
        <w:trPr>
          <w:trHeight w:val="355"/>
          <w:jc w:val="center"/>
        </w:trPr>
        <w:tc>
          <w:tcPr>
            <w:tcW w:w="603" w:type="dxa"/>
            <w:tcBorders>
              <w:top w:val="nil"/>
              <w:left w:val="single" w:sz="8" w:space="0" w:color="auto"/>
              <w:bottom w:val="nil"/>
              <w:right w:val="single" w:sz="4" w:space="0" w:color="auto"/>
            </w:tcBorders>
            <w:shd w:val="clear" w:color="000000" w:fill="FFFFFF"/>
            <w:vAlign w:val="center"/>
            <w:hideMark/>
          </w:tcPr>
          <w:p w:rsidR="00A06464" w:rsidRPr="00322F1E" w:rsidRDefault="00A06464" w:rsidP="009A4A31">
            <w:pPr>
              <w:jc w:val="right"/>
              <w:rPr>
                <w:rFonts w:cs="Arial"/>
                <w:b/>
              </w:rPr>
            </w:pPr>
            <w:r w:rsidRPr="00322F1E">
              <w:rPr>
                <w:b/>
              </w:rPr>
              <w:t>3.8</w:t>
            </w:r>
          </w:p>
        </w:tc>
        <w:tc>
          <w:tcPr>
            <w:tcW w:w="3215" w:type="dxa"/>
            <w:tcBorders>
              <w:top w:val="nil"/>
              <w:left w:val="nil"/>
              <w:bottom w:val="nil"/>
              <w:right w:val="single" w:sz="8" w:space="0" w:color="auto"/>
            </w:tcBorders>
            <w:shd w:val="clear" w:color="000000" w:fill="FFFFFF"/>
            <w:vAlign w:val="center"/>
            <w:hideMark/>
          </w:tcPr>
          <w:p w:rsidR="00A06464" w:rsidRPr="00322F1E" w:rsidRDefault="00A06464" w:rsidP="009A4A31">
            <w:pPr>
              <w:rPr>
                <w:rFonts w:cs="Arial"/>
                <w:b/>
                <w:bCs/>
              </w:rPr>
            </w:pPr>
            <w:r w:rsidRPr="00322F1E">
              <w:rPr>
                <w:b/>
              </w:rPr>
              <w:t xml:space="preserve">CHIEF EXECUTIVE </w:t>
            </w:r>
          </w:p>
        </w:tc>
        <w:tc>
          <w:tcPr>
            <w:tcW w:w="1324" w:type="dxa"/>
            <w:tcBorders>
              <w:top w:val="nil"/>
              <w:left w:val="nil"/>
              <w:bottom w:val="nil"/>
              <w:right w:val="single" w:sz="8" w:space="0" w:color="auto"/>
            </w:tcBorders>
            <w:shd w:val="clear" w:color="000000" w:fill="FFFFFF"/>
            <w:vAlign w:val="center"/>
            <w:hideMark/>
          </w:tcPr>
          <w:p w:rsidR="00A06464" w:rsidRPr="00322F1E" w:rsidRDefault="00A06464" w:rsidP="009A4A31">
            <w:pPr>
              <w:jc w:val="right"/>
              <w:rPr>
                <w:rFonts w:cs="Arial"/>
              </w:rPr>
            </w:pPr>
            <w:r w:rsidRPr="00322F1E">
              <w:t>61.564</w:t>
            </w:r>
          </w:p>
        </w:tc>
        <w:tc>
          <w:tcPr>
            <w:tcW w:w="1352" w:type="dxa"/>
            <w:tcBorders>
              <w:top w:val="nil"/>
              <w:left w:val="nil"/>
              <w:bottom w:val="nil"/>
              <w:right w:val="single" w:sz="8" w:space="0" w:color="auto"/>
            </w:tcBorders>
            <w:shd w:val="clear" w:color="000000" w:fill="FFFFFF"/>
            <w:vAlign w:val="center"/>
            <w:hideMark/>
          </w:tcPr>
          <w:p w:rsidR="00A06464" w:rsidRPr="00322F1E" w:rsidRDefault="00A06464" w:rsidP="009A4A31">
            <w:pPr>
              <w:jc w:val="right"/>
              <w:rPr>
                <w:rFonts w:cs="Arial"/>
              </w:rPr>
            </w:pPr>
            <w:r w:rsidRPr="00322F1E">
              <w:t>-11.066</w:t>
            </w:r>
          </w:p>
        </w:tc>
        <w:tc>
          <w:tcPr>
            <w:tcW w:w="1283" w:type="dxa"/>
            <w:tcBorders>
              <w:top w:val="nil"/>
              <w:left w:val="nil"/>
              <w:bottom w:val="nil"/>
              <w:right w:val="single" w:sz="4" w:space="0" w:color="auto"/>
            </w:tcBorders>
            <w:shd w:val="clear" w:color="000000" w:fill="FFFFFF"/>
            <w:vAlign w:val="center"/>
            <w:hideMark/>
          </w:tcPr>
          <w:p w:rsidR="00A06464" w:rsidRPr="00322F1E" w:rsidRDefault="00A06464" w:rsidP="009A4A31">
            <w:pPr>
              <w:jc w:val="right"/>
              <w:rPr>
                <w:rFonts w:cs="Arial"/>
              </w:rPr>
            </w:pPr>
            <w:r w:rsidRPr="00322F1E">
              <w:t>48.609</w:t>
            </w:r>
          </w:p>
        </w:tc>
        <w:tc>
          <w:tcPr>
            <w:tcW w:w="1217" w:type="dxa"/>
            <w:tcBorders>
              <w:top w:val="nil"/>
              <w:left w:val="nil"/>
              <w:bottom w:val="nil"/>
              <w:right w:val="nil"/>
            </w:tcBorders>
            <w:shd w:val="clear" w:color="000000" w:fill="FFFFFF"/>
            <w:vAlign w:val="center"/>
            <w:hideMark/>
          </w:tcPr>
          <w:p w:rsidR="00A06464" w:rsidRPr="00322F1E" w:rsidRDefault="00A06464" w:rsidP="009A4A31">
            <w:pPr>
              <w:jc w:val="right"/>
              <w:rPr>
                <w:rFonts w:cs="Arial"/>
              </w:rPr>
            </w:pPr>
            <w:r w:rsidRPr="00322F1E">
              <w:t>-12.955</w:t>
            </w:r>
          </w:p>
        </w:tc>
        <w:tc>
          <w:tcPr>
            <w:tcW w:w="1217" w:type="dxa"/>
            <w:tcBorders>
              <w:top w:val="nil"/>
              <w:left w:val="single" w:sz="4" w:space="0" w:color="auto"/>
              <w:bottom w:val="nil"/>
              <w:right w:val="single" w:sz="8" w:space="0" w:color="auto"/>
            </w:tcBorders>
            <w:shd w:val="clear" w:color="000000" w:fill="FFFFFF"/>
            <w:vAlign w:val="center"/>
            <w:hideMark/>
          </w:tcPr>
          <w:p w:rsidR="00A06464" w:rsidRPr="00322F1E" w:rsidRDefault="00A06464" w:rsidP="009A4A31">
            <w:pPr>
              <w:jc w:val="right"/>
              <w:rPr>
                <w:rFonts w:cs="Arial"/>
              </w:rPr>
            </w:pPr>
            <w:r w:rsidRPr="00322F1E">
              <w:t>-21%</w:t>
            </w:r>
          </w:p>
        </w:tc>
      </w:tr>
      <w:tr w:rsidR="00A06464" w:rsidRPr="00322F1E" w:rsidTr="009A4A31">
        <w:trPr>
          <w:trHeight w:val="601"/>
          <w:jc w:val="center"/>
        </w:trPr>
        <w:tc>
          <w:tcPr>
            <w:tcW w:w="603" w:type="dxa"/>
            <w:tcBorders>
              <w:top w:val="single" w:sz="8" w:space="0" w:color="auto"/>
              <w:left w:val="single" w:sz="8" w:space="0" w:color="auto"/>
              <w:bottom w:val="single" w:sz="8" w:space="0" w:color="auto"/>
              <w:right w:val="single" w:sz="4" w:space="0" w:color="auto"/>
            </w:tcBorders>
            <w:shd w:val="clear" w:color="000000" w:fill="8497B0"/>
            <w:vAlign w:val="center"/>
            <w:hideMark/>
          </w:tcPr>
          <w:p w:rsidR="00A06464" w:rsidRPr="00322F1E" w:rsidRDefault="00A06464" w:rsidP="009A4A31">
            <w:pPr>
              <w:rPr>
                <w:rFonts w:cs="Arial"/>
                <w:b/>
                <w:bCs/>
              </w:rPr>
            </w:pPr>
            <w:r w:rsidRPr="00322F1E">
              <w:rPr>
                <w:b/>
              </w:rPr>
              <w:t xml:space="preserve"> </w:t>
            </w:r>
          </w:p>
        </w:tc>
        <w:tc>
          <w:tcPr>
            <w:tcW w:w="3215" w:type="dxa"/>
            <w:tcBorders>
              <w:top w:val="single" w:sz="8" w:space="0" w:color="auto"/>
              <w:left w:val="nil"/>
              <w:bottom w:val="single" w:sz="8" w:space="0" w:color="auto"/>
              <w:right w:val="single" w:sz="8" w:space="0" w:color="auto"/>
            </w:tcBorders>
            <w:shd w:val="clear" w:color="000000" w:fill="8497B0"/>
            <w:vAlign w:val="center"/>
            <w:hideMark/>
          </w:tcPr>
          <w:p w:rsidR="00A06464" w:rsidRPr="00322F1E" w:rsidRDefault="00A06464" w:rsidP="009A4A31">
            <w:pPr>
              <w:rPr>
                <w:rFonts w:cs="Arial"/>
                <w:b/>
                <w:bCs/>
              </w:rPr>
            </w:pPr>
            <w:r w:rsidRPr="00322F1E">
              <w:rPr>
                <w:b/>
              </w:rPr>
              <w:t>LCC (ALL) NARRATIVE TOTAL</w:t>
            </w:r>
          </w:p>
        </w:tc>
        <w:tc>
          <w:tcPr>
            <w:tcW w:w="1324" w:type="dxa"/>
            <w:tcBorders>
              <w:top w:val="single" w:sz="8" w:space="0" w:color="auto"/>
              <w:left w:val="nil"/>
              <w:bottom w:val="single" w:sz="8" w:space="0" w:color="auto"/>
              <w:right w:val="single" w:sz="8" w:space="0" w:color="auto"/>
            </w:tcBorders>
            <w:shd w:val="clear" w:color="000000" w:fill="8497B0"/>
            <w:vAlign w:val="center"/>
            <w:hideMark/>
          </w:tcPr>
          <w:p w:rsidR="00A06464" w:rsidRPr="00322F1E" w:rsidRDefault="00A06464" w:rsidP="009A4A31">
            <w:pPr>
              <w:jc w:val="right"/>
              <w:rPr>
                <w:rFonts w:cs="Arial"/>
                <w:b/>
                <w:bCs/>
              </w:rPr>
            </w:pPr>
            <w:r w:rsidRPr="00322F1E">
              <w:rPr>
                <w:b/>
              </w:rPr>
              <w:t>726.675</w:t>
            </w:r>
          </w:p>
        </w:tc>
        <w:tc>
          <w:tcPr>
            <w:tcW w:w="1352" w:type="dxa"/>
            <w:tcBorders>
              <w:top w:val="single" w:sz="8" w:space="0" w:color="auto"/>
              <w:left w:val="nil"/>
              <w:bottom w:val="single" w:sz="8" w:space="0" w:color="auto"/>
              <w:right w:val="single" w:sz="8" w:space="0" w:color="auto"/>
            </w:tcBorders>
            <w:shd w:val="clear" w:color="000000" w:fill="8497B0"/>
            <w:vAlign w:val="center"/>
            <w:hideMark/>
          </w:tcPr>
          <w:p w:rsidR="00A06464" w:rsidRPr="00322F1E" w:rsidRDefault="00A06464" w:rsidP="009A4A31">
            <w:pPr>
              <w:jc w:val="right"/>
              <w:rPr>
                <w:rFonts w:cs="Arial"/>
                <w:b/>
                <w:bCs/>
              </w:rPr>
            </w:pPr>
            <w:r w:rsidRPr="00322F1E">
              <w:rPr>
                <w:b/>
              </w:rPr>
              <w:t>19.666</w:t>
            </w:r>
          </w:p>
        </w:tc>
        <w:tc>
          <w:tcPr>
            <w:tcW w:w="1283" w:type="dxa"/>
            <w:tcBorders>
              <w:top w:val="single" w:sz="8" w:space="0" w:color="auto"/>
              <w:left w:val="nil"/>
              <w:bottom w:val="single" w:sz="8" w:space="0" w:color="auto"/>
              <w:right w:val="single" w:sz="4" w:space="0" w:color="auto"/>
            </w:tcBorders>
            <w:shd w:val="clear" w:color="000000" w:fill="8497B0"/>
            <w:vAlign w:val="center"/>
            <w:hideMark/>
          </w:tcPr>
          <w:p w:rsidR="00A06464" w:rsidRPr="00322F1E" w:rsidRDefault="00A06464" w:rsidP="009A4A31">
            <w:pPr>
              <w:jc w:val="right"/>
              <w:rPr>
                <w:rFonts w:cs="Arial"/>
                <w:b/>
                <w:bCs/>
              </w:rPr>
            </w:pPr>
            <w:r w:rsidRPr="00322F1E">
              <w:rPr>
                <w:b/>
              </w:rPr>
              <w:t>736.266</w:t>
            </w:r>
          </w:p>
        </w:tc>
        <w:tc>
          <w:tcPr>
            <w:tcW w:w="1217" w:type="dxa"/>
            <w:tcBorders>
              <w:top w:val="single" w:sz="8" w:space="0" w:color="auto"/>
              <w:left w:val="nil"/>
              <w:bottom w:val="single" w:sz="8" w:space="0" w:color="auto"/>
              <w:right w:val="nil"/>
            </w:tcBorders>
            <w:shd w:val="clear" w:color="000000" w:fill="8497B0"/>
            <w:vAlign w:val="center"/>
            <w:hideMark/>
          </w:tcPr>
          <w:p w:rsidR="00A06464" w:rsidRPr="00322F1E" w:rsidRDefault="00A06464" w:rsidP="009A4A31">
            <w:pPr>
              <w:jc w:val="right"/>
              <w:rPr>
                <w:rFonts w:cs="Arial"/>
                <w:b/>
                <w:bCs/>
              </w:rPr>
            </w:pPr>
            <w:r w:rsidRPr="00322F1E">
              <w:rPr>
                <w:b/>
              </w:rPr>
              <w:t>9.591</w:t>
            </w:r>
          </w:p>
        </w:tc>
        <w:tc>
          <w:tcPr>
            <w:tcW w:w="1217" w:type="dxa"/>
            <w:tcBorders>
              <w:top w:val="single" w:sz="8" w:space="0" w:color="auto"/>
              <w:left w:val="single" w:sz="4" w:space="0" w:color="auto"/>
              <w:bottom w:val="single" w:sz="8" w:space="0" w:color="auto"/>
              <w:right w:val="single" w:sz="8" w:space="0" w:color="auto"/>
            </w:tcBorders>
            <w:shd w:val="clear" w:color="000000" w:fill="8497B0"/>
            <w:vAlign w:val="center"/>
            <w:hideMark/>
          </w:tcPr>
          <w:p w:rsidR="00A06464" w:rsidRPr="00322F1E" w:rsidRDefault="00A06464" w:rsidP="009A4A31">
            <w:pPr>
              <w:jc w:val="right"/>
              <w:rPr>
                <w:rFonts w:cs="Arial"/>
                <w:b/>
                <w:bCs/>
              </w:rPr>
            </w:pPr>
            <w:r w:rsidRPr="00322F1E">
              <w:rPr>
                <w:b/>
              </w:rPr>
              <w:t>1%</w:t>
            </w:r>
          </w:p>
        </w:tc>
      </w:tr>
    </w:tbl>
    <w:p w:rsidR="00A06464" w:rsidRPr="004211A6" w:rsidRDefault="00A06464" w:rsidP="00A06464">
      <w:pPr>
        <w:tabs>
          <w:tab w:val="left" w:pos="851"/>
          <w:tab w:val="left" w:pos="1418"/>
        </w:tabs>
        <w:rPr>
          <w:rFonts w:cs="Arial"/>
        </w:rPr>
      </w:pPr>
    </w:p>
    <w:p w:rsidR="00A06464" w:rsidRPr="00B22081" w:rsidRDefault="00A06464" w:rsidP="00A06464">
      <w:pPr>
        <w:tabs>
          <w:tab w:val="left" w:pos="851"/>
          <w:tab w:val="left" w:pos="1418"/>
        </w:tabs>
        <w:autoSpaceDE w:val="0"/>
        <w:autoSpaceDN w:val="0"/>
        <w:adjustRightInd w:val="0"/>
        <w:rPr>
          <w:rFonts w:eastAsia="Calibri" w:cs="Arial"/>
          <w:color w:val="000000"/>
          <w:lang w:eastAsia="en-US"/>
        </w:rPr>
      </w:pPr>
      <w:proofErr w:type="gramStart"/>
      <w:r w:rsidRPr="00B22081">
        <w:rPr>
          <w:rFonts w:eastAsia="Calibri" w:cs="Arial"/>
          <w:color w:val="000000"/>
          <w:lang w:eastAsia="en-US"/>
        </w:rPr>
        <w:t>An overspend</w:t>
      </w:r>
      <w:proofErr w:type="gramEnd"/>
      <w:r w:rsidRPr="00B22081">
        <w:rPr>
          <w:rFonts w:eastAsia="Calibri" w:cs="Arial"/>
          <w:color w:val="000000"/>
          <w:lang w:eastAsia="en-US"/>
        </w:rPr>
        <w:t xml:space="preserve"> is forecast on the revenue budget of £9.591m in 2015/16 against the budget of £726.675m which will be an in-year call on reserves.  This represents a reduction of £10.075m from the forecast overspend position reported to Cabinet in November, which reflected the position at the end of quarter 2.   </w:t>
      </w:r>
      <w:r w:rsidRPr="00B22081">
        <w:rPr>
          <w:rFonts w:eastAsia="Calibri" w:cs="Arial"/>
          <w:color w:val="000000"/>
          <w:u w:color="000000"/>
          <w:lang w:eastAsia="en-US"/>
        </w:rPr>
        <w:t xml:space="preserve">The significant improvement reflects positive actions taken to stop all non-essential expenditure, tight management of vacancies and management actions to control and reduce where possible all other areas of expenditure and </w:t>
      </w:r>
      <w:r w:rsidRPr="00B22081">
        <w:rPr>
          <w:rFonts w:eastAsia="Calibri" w:cs="Arial"/>
          <w:color w:val="000000"/>
          <w:lang w:eastAsia="en-US"/>
        </w:rPr>
        <w:t>results in a reduced impact on reserves.</w:t>
      </w:r>
    </w:p>
    <w:p w:rsidR="00A06464" w:rsidRPr="00B22081" w:rsidRDefault="00A06464" w:rsidP="00A06464">
      <w:pPr>
        <w:tabs>
          <w:tab w:val="left" w:pos="851"/>
          <w:tab w:val="left" w:pos="1418"/>
        </w:tabs>
        <w:autoSpaceDE w:val="0"/>
        <w:autoSpaceDN w:val="0"/>
        <w:adjustRightInd w:val="0"/>
        <w:jc w:val="both"/>
        <w:rPr>
          <w:rFonts w:eastAsia="Calibri" w:cs="Arial"/>
          <w:color w:val="000000"/>
          <w:szCs w:val="24"/>
          <w:lang w:eastAsia="en-US"/>
        </w:rPr>
      </w:pPr>
    </w:p>
    <w:p w:rsidR="00A06464" w:rsidRPr="00B22081" w:rsidRDefault="00A06464" w:rsidP="00A06464">
      <w:pPr>
        <w:tabs>
          <w:tab w:val="left" w:pos="851"/>
          <w:tab w:val="left" w:pos="1418"/>
        </w:tabs>
        <w:autoSpaceDE w:val="0"/>
        <w:autoSpaceDN w:val="0"/>
        <w:adjustRightInd w:val="0"/>
        <w:rPr>
          <w:rFonts w:eastAsia="Calibri" w:cs="Arial"/>
          <w:color w:val="000000"/>
          <w:lang w:eastAsia="en-US"/>
        </w:rPr>
      </w:pPr>
      <w:r w:rsidRPr="00B22081">
        <w:rPr>
          <w:rFonts w:eastAsia="Calibri" w:cs="Arial"/>
          <w:color w:val="000000"/>
          <w:lang w:eastAsia="en-US"/>
        </w:rPr>
        <w:t xml:space="preserve">In addition, the Money Matters report which was agreed at Cabinet in November included a budget saving for 2016/17 onwards relating to Capital Financing Charges.  This is to be delivered via a revised Minimum Revenue Provision Policy being agreed at Full Council in February 2016. On the basis of further work undertaken, this could be retrospectively implemented from April 2015 with an estimated impact of a reduced charge to the revenue account of c£10m this year. This would, as the forecast currently stands, result in almost a balanced budgetary position for 2015/16.   </w:t>
      </w:r>
    </w:p>
    <w:p w:rsidR="00A06464" w:rsidRPr="00B22081" w:rsidRDefault="00A06464" w:rsidP="00A06464">
      <w:pPr>
        <w:tabs>
          <w:tab w:val="left" w:pos="851"/>
          <w:tab w:val="left" w:pos="1418"/>
        </w:tabs>
        <w:autoSpaceDE w:val="0"/>
        <w:autoSpaceDN w:val="0"/>
        <w:adjustRightInd w:val="0"/>
        <w:rPr>
          <w:rFonts w:eastAsia="Calibri" w:cs="Arial"/>
          <w:color w:val="000000"/>
          <w:lang w:eastAsia="en-US"/>
        </w:rPr>
      </w:pPr>
    </w:p>
    <w:p w:rsidR="00A06464" w:rsidRDefault="00A06464" w:rsidP="00A06464">
      <w:pPr>
        <w:tabs>
          <w:tab w:val="left" w:pos="851"/>
          <w:tab w:val="left" w:pos="1418"/>
        </w:tabs>
        <w:autoSpaceDE w:val="0"/>
        <w:autoSpaceDN w:val="0"/>
        <w:adjustRightInd w:val="0"/>
        <w:rPr>
          <w:rFonts w:eastAsia="Calibri" w:cs="Arial"/>
          <w:color w:val="000000"/>
          <w:lang w:eastAsia="en-US"/>
        </w:rPr>
      </w:pPr>
      <w:r w:rsidRPr="00B22081">
        <w:rPr>
          <w:rFonts w:eastAsia="Calibri" w:cs="Arial"/>
          <w:color w:val="000000"/>
          <w:lang w:eastAsia="en-US"/>
        </w:rPr>
        <w:lastRenderedPageBreak/>
        <w:t>The forecast includes the application of earmarked reserves of £17.495m utilised to support base budget pressure which have been built into the Medium Term Financial Strategy (MTFS) going forward from 2016/17.  A further £24.758m of reserves has been hi</w:t>
      </w:r>
      <w:r>
        <w:rPr>
          <w:rFonts w:eastAsia="Calibri" w:cs="Arial"/>
          <w:color w:val="000000"/>
          <w:lang w:eastAsia="en-US"/>
        </w:rPr>
        <w:t xml:space="preserve">ghlighted </w:t>
      </w:r>
      <w:r w:rsidRPr="00B22081">
        <w:rPr>
          <w:rFonts w:eastAsia="Calibri" w:cs="Arial"/>
          <w:color w:val="000000"/>
          <w:lang w:eastAsia="en-US"/>
        </w:rPr>
        <w:t>which support one-off in year project work and invest to save schemes which have a net nil effect to the overall revenue forecast and have not been included in the MTFS.</w:t>
      </w:r>
    </w:p>
    <w:p w:rsidR="00A06464" w:rsidRPr="00EA50AF" w:rsidRDefault="00A06464" w:rsidP="00A06464">
      <w:pPr>
        <w:rPr>
          <w:rFonts w:cs="Arial"/>
        </w:rPr>
      </w:pPr>
    </w:p>
    <w:p w:rsidR="00B951A1" w:rsidRPr="00A06464" w:rsidRDefault="00B951A1" w:rsidP="00A06464"/>
    <w:sectPr w:rsidR="00B951A1" w:rsidRPr="00A06464" w:rsidSect="00043385">
      <w:footerReference w:type="default" r:id="rId8"/>
      <w:footerReference w:type="first" r:id="rId9"/>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2D" w:rsidRDefault="008F442D">
      <w:r>
        <w:separator/>
      </w:r>
    </w:p>
  </w:endnote>
  <w:endnote w:type="continuationSeparator" w:id="0">
    <w:p w:rsidR="008F442D" w:rsidRDefault="008F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tc>
        <w:tcPr>
          <w:tcW w:w="9243" w:type="dxa"/>
          <w:tcBorders>
            <w:top w:val="nil"/>
            <w:left w:val="nil"/>
            <w:bottom w:val="nil"/>
            <w:right w:val="nil"/>
          </w:tcBorders>
        </w:tcPr>
        <w:p w:rsidR="00211D9F" w:rsidRDefault="00211D9F">
          <w:pPr>
            <w:pStyle w:val="Footer"/>
            <w:tabs>
              <w:tab w:val="clear" w:pos="4153"/>
            </w:tabs>
            <w:ind w:right="-45"/>
            <w:jc w:val="right"/>
          </w:pPr>
        </w:p>
      </w:tc>
    </w:tr>
  </w:tbl>
  <w:p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tc>
        <w:tcPr>
          <w:tcW w:w="9243" w:type="dxa"/>
          <w:tcBorders>
            <w:top w:val="nil"/>
            <w:left w:val="nil"/>
            <w:bottom w:val="nil"/>
            <w:right w:val="nil"/>
          </w:tcBorders>
        </w:tcPr>
        <w:p w:rsidR="00211D9F" w:rsidRDefault="002E0332">
          <w:pPr>
            <w:pStyle w:val="Footer"/>
            <w:tabs>
              <w:tab w:val="clear" w:pos="4153"/>
            </w:tabs>
            <w:ind w:right="-45"/>
            <w:jc w:val="right"/>
          </w:pPr>
          <w:r w:rsidRPr="00AD2F25">
            <w:rPr>
              <w:noProof/>
            </w:rPr>
            <w:drawing>
              <wp:inline distT="0" distB="0" distL="0" distR="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2D" w:rsidRDefault="008F442D">
      <w:r>
        <w:separator/>
      </w:r>
    </w:p>
  </w:footnote>
  <w:footnote w:type="continuationSeparator" w:id="0">
    <w:p w:rsidR="008F442D" w:rsidRDefault="008F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B4FE4"/>
    <w:multiLevelType w:val="hybridMultilevel"/>
    <w:tmpl w:val="518E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1798"/>
    <w:multiLevelType w:val="hybridMultilevel"/>
    <w:tmpl w:val="8D0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93E19"/>
    <w:multiLevelType w:val="hybridMultilevel"/>
    <w:tmpl w:val="85BADB00"/>
    <w:lvl w:ilvl="0" w:tplc="350ECB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5446D"/>
    <w:multiLevelType w:val="hybridMultilevel"/>
    <w:tmpl w:val="CA5A7808"/>
    <w:lvl w:ilvl="0" w:tplc="16284C2C">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56F87"/>
    <w:multiLevelType w:val="hybridMultilevel"/>
    <w:tmpl w:val="EE6C5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5F74DB"/>
    <w:multiLevelType w:val="hybridMultilevel"/>
    <w:tmpl w:val="BE8A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226FF"/>
    <w:multiLevelType w:val="hybridMultilevel"/>
    <w:tmpl w:val="CBE6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61B1"/>
    <w:rsid w:val="000257A1"/>
    <w:rsid w:val="00031D63"/>
    <w:rsid w:val="00043385"/>
    <w:rsid w:val="00051CB8"/>
    <w:rsid w:val="00057244"/>
    <w:rsid w:val="000615A2"/>
    <w:rsid w:val="00061DF2"/>
    <w:rsid w:val="00070646"/>
    <w:rsid w:val="000708AF"/>
    <w:rsid w:val="00074E6C"/>
    <w:rsid w:val="00093B39"/>
    <w:rsid w:val="000957D1"/>
    <w:rsid w:val="00096496"/>
    <w:rsid w:val="000C3699"/>
    <w:rsid w:val="000C3BF8"/>
    <w:rsid w:val="000D0D79"/>
    <w:rsid w:val="000D7301"/>
    <w:rsid w:val="000F2A26"/>
    <w:rsid w:val="000F59ED"/>
    <w:rsid w:val="00104F03"/>
    <w:rsid w:val="001143D2"/>
    <w:rsid w:val="001154EC"/>
    <w:rsid w:val="001172CF"/>
    <w:rsid w:val="001254EB"/>
    <w:rsid w:val="001342BE"/>
    <w:rsid w:val="00140E41"/>
    <w:rsid w:val="001433C0"/>
    <w:rsid w:val="00153088"/>
    <w:rsid w:val="00170FD5"/>
    <w:rsid w:val="00173388"/>
    <w:rsid w:val="00180D70"/>
    <w:rsid w:val="001818BC"/>
    <w:rsid w:val="00183EEF"/>
    <w:rsid w:val="001859C6"/>
    <w:rsid w:val="001952A7"/>
    <w:rsid w:val="001A1CEF"/>
    <w:rsid w:val="001B26F6"/>
    <w:rsid w:val="001C0824"/>
    <w:rsid w:val="001C2BF4"/>
    <w:rsid w:val="001D3089"/>
    <w:rsid w:val="001D59A7"/>
    <w:rsid w:val="001D6C9A"/>
    <w:rsid w:val="001F2402"/>
    <w:rsid w:val="001F3962"/>
    <w:rsid w:val="001F49DB"/>
    <w:rsid w:val="00211D9F"/>
    <w:rsid w:val="00224214"/>
    <w:rsid w:val="00231DC7"/>
    <w:rsid w:val="002340F4"/>
    <w:rsid w:val="00240A4D"/>
    <w:rsid w:val="00241DD7"/>
    <w:rsid w:val="0024328C"/>
    <w:rsid w:val="00244DF3"/>
    <w:rsid w:val="00250B13"/>
    <w:rsid w:val="00250D63"/>
    <w:rsid w:val="00261838"/>
    <w:rsid w:val="00263341"/>
    <w:rsid w:val="002664EC"/>
    <w:rsid w:val="002719DC"/>
    <w:rsid w:val="0028461B"/>
    <w:rsid w:val="002929ED"/>
    <w:rsid w:val="002B11AF"/>
    <w:rsid w:val="002B2ABB"/>
    <w:rsid w:val="002C0BFB"/>
    <w:rsid w:val="002C7E3B"/>
    <w:rsid w:val="002D2A77"/>
    <w:rsid w:val="002E0332"/>
    <w:rsid w:val="002E1B7B"/>
    <w:rsid w:val="002E4973"/>
    <w:rsid w:val="00314477"/>
    <w:rsid w:val="0032193E"/>
    <w:rsid w:val="00323CFE"/>
    <w:rsid w:val="00325E44"/>
    <w:rsid w:val="003313BB"/>
    <w:rsid w:val="0033402E"/>
    <w:rsid w:val="003425C2"/>
    <w:rsid w:val="003452AF"/>
    <w:rsid w:val="00346E87"/>
    <w:rsid w:val="00350AEB"/>
    <w:rsid w:val="0035203C"/>
    <w:rsid w:val="00354CAC"/>
    <w:rsid w:val="00356E3A"/>
    <w:rsid w:val="00357954"/>
    <w:rsid w:val="00360625"/>
    <w:rsid w:val="0036700C"/>
    <w:rsid w:val="00371ACC"/>
    <w:rsid w:val="00385A08"/>
    <w:rsid w:val="00392EF9"/>
    <w:rsid w:val="003A01D6"/>
    <w:rsid w:val="003A606D"/>
    <w:rsid w:val="003C73D0"/>
    <w:rsid w:val="003C7ABE"/>
    <w:rsid w:val="003D381E"/>
    <w:rsid w:val="003E1C87"/>
    <w:rsid w:val="003E4940"/>
    <w:rsid w:val="003E6A45"/>
    <w:rsid w:val="003E6BC4"/>
    <w:rsid w:val="003F60D7"/>
    <w:rsid w:val="00403EDE"/>
    <w:rsid w:val="00410E9A"/>
    <w:rsid w:val="004149CE"/>
    <w:rsid w:val="00442F09"/>
    <w:rsid w:val="0044710C"/>
    <w:rsid w:val="00450705"/>
    <w:rsid w:val="004756C0"/>
    <w:rsid w:val="004772A2"/>
    <w:rsid w:val="004813E1"/>
    <w:rsid w:val="0048303B"/>
    <w:rsid w:val="0048411F"/>
    <w:rsid w:val="0048673A"/>
    <w:rsid w:val="00487AD6"/>
    <w:rsid w:val="004918F3"/>
    <w:rsid w:val="00494670"/>
    <w:rsid w:val="004B58BA"/>
    <w:rsid w:val="004B7F40"/>
    <w:rsid w:val="004D118B"/>
    <w:rsid w:val="004D3346"/>
    <w:rsid w:val="004D65D7"/>
    <w:rsid w:val="004D7D68"/>
    <w:rsid w:val="004E176E"/>
    <w:rsid w:val="004E79E6"/>
    <w:rsid w:val="0050799C"/>
    <w:rsid w:val="005100FD"/>
    <w:rsid w:val="005102E6"/>
    <w:rsid w:val="00511993"/>
    <w:rsid w:val="0051663C"/>
    <w:rsid w:val="005171AA"/>
    <w:rsid w:val="00524AF6"/>
    <w:rsid w:val="00526AD4"/>
    <w:rsid w:val="005273CA"/>
    <w:rsid w:val="00530615"/>
    <w:rsid w:val="0053214F"/>
    <w:rsid w:val="00535E79"/>
    <w:rsid w:val="00536746"/>
    <w:rsid w:val="005442B9"/>
    <w:rsid w:val="00546428"/>
    <w:rsid w:val="00555526"/>
    <w:rsid w:val="00557FB3"/>
    <w:rsid w:val="00560DCA"/>
    <w:rsid w:val="005754F4"/>
    <w:rsid w:val="0057650D"/>
    <w:rsid w:val="005819C8"/>
    <w:rsid w:val="005A2424"/>
    <w:rsid w:val="005D0DB0"/>
    <w:rsid w:val="005D1D16"/>
    <w:rsid w:val="005D1E7E"/>
    <w:rsid w:val="005D4BD0"/>
    <w:rsid w:val="005D765A"/>
    <w:rsid w:val="005E0F58"/>
    <w:rsid w:val="005F1808"/>
    <w:rsid w:val="005F23C7"/>
    <w:rsid w:val="0060033D"/>
    <w:rsid w:val="0061339A"/>
    <w:rsid w:val="00615CEB"/>
    <w:rsid w:val="0062383A"/>
    <w:rsid w:val="006247C6"/>
    <w:rsid w:val="00634B2E"/>
    <w:rsid w:val="00634D87"/>
    <w:rsid w:val="006361B9"/>
    <w:rsid w:val="00642823"/>
    <w:rsid w:val="006435AC"/>
    <w:rsid w:val="00650F0A"/>
    <w:rsid w:val="00652BE4"/>
    <w:rsid w:val="00662B3E"/>
    <w:rsid w:val="00691C06"/>
    <w:rsid w:val="00696604"/>
    <w:rsid w:val="006A781F"/>
    <w:rsid w:val="006A7EEF"/>
    <w:rsid w:val="006B1820"/>
    <w:rsid w:val="006E2C41"/>
    <w:rsid w:val="006F53B5"/>
    <w:rsid w:val="00711051"/>
    <w:rsid w:val="00711809"/>
    <w:rsid w:val="0071339A"/>
    <w:rsid w:val="00713FF8"/>
    <w:rsid w:val="00724190"/>
    <w:rsid w:val="00745BBB"/>
    <w:rsid w:val="007478B3"/>
    <w:rsid w:val="00756F1E"/>
    <w:rsid w:val="00761CE2"/>
    <w:rsid w:val="007652D3"/>
    <w:rsid w:val="00767822"/>
    <w:rsid w:val="0077177B"/>
    <w:rsid w:val="00772BBA"/>
    <w:rsid w:val="0077791E"/>
    <w:rsid w:val="00791837"/>
    <w:rsid w:val="00795705"/>
    <w:rsid w:val="007A0E4D"/>
    <w:rsid w:val="007A4131"/>
    <w:rsid w:val="007B277F"/>
    <w:rsid w:val="007B58DE"/>
    <w:rsid w:val="007C37BB"/>
    <w:rsid w:val="007D2C90"/>
    <w:rsid w:val="007D4CAA"/>
    <w:rsid w:val="007D51AE"/>
    <w:rsid w:val="007D5C1A"/>
    <w:rsid w:val="007D6B3E"/>
    <w:rsid w:val="007E5A0C"/>
    <w:rsid w:val="007E7A9F"/>
    <w:rsid w:val="007F7A73"/>
    <w:rsid w:val="00805628"/>
    <w:rsid w:val="00805A20"/>
    <w:rsid w:val="00826154"/>
    <w:rsid w:val="008376C0"/>
    <w:rsid w:val="008508B8"/>
    <w:rsid w:val="0085163F"/>
    <w:rsid w:val="008517F2"/>
    <w:rsid w:val="008560B4"/>
    <w:rsid w:val="00856EB8"/>
    <w:rsid w:val="0085778C"/>
    <w:rsid w:val="00857E45"/>
    <w:rsid w:val="0086579D"/>
    <w:rsid w:val="00870097"/>
    <w:rsid w:val="008908DF"/>
    <w:rsid w:val="008A5E88"/>
    <w:rsid w:val="008A7BC3"/>
    <w:rsid w:val="008B569B"/>
    <w:rsid w:val="008B58C6"/>
    <w:rsid w:val="008C4D33"/>
    <w:rsid w:val="008D2556"/>
    <w:rsid w:val="008D3EE2"/>
    <w:rsid w:val="008D3F02"/>
    <w:rsid w:val="008E1019"/>
    <w:rsid w:val="008E4458"/>
    <w:rsid w:val="008E5C1C"/>
    <w:rsid w:val="008F0987"/>
    <w:rsid w:val="008F442D"/>
    <w:rsid w:val="008F544B"/>
    <w:rsid w:val="008F6FEE"/>
    <w:rsid w:val="009226E8"/>
    <w:rsid w:val="0092462D"/>
    <w:rsid w:val="00942447"/>
    <w:rsid w:val="00961658"/>
    <w:rsid w:val="009802BA"/>
    <w:rsid w:val="0099020C"/>
    <w:rsid w:val="00991E39"/>
    <w:rsid w:val="009A1917"/>
    <w:rsid w:val="009E1972"/>
    <w:rsid w:val="009E3AE9"/>
    <w:rsid w:val="009E4631"/>
    <w:rsid w:val="009F4514"/>
    <w:rsid w:val="009F5A37"/>
    <w:rsid w:val="009F6FF7"/>
    <w:rsid w:val="00A0225E"/>
    <w:rsid w:val="00A02BF9"/>
    <w:rsid w:val="00A05FEF"/>
    <w:rsid w:val="00A06464"/>
    <w:rsid w:val="00A10B44"/>
    <w:rsid w:val="00A25E38"/>
    <w:rsid w:val="00A27074"/>
    <w:rsid w:val="00A328A6"/>
    <w:rsid w:val="00A3343D"/>
    <w:rsid w:val="00A404E2"/>
    <w:rsid w:val="00A40A27"/>
    <w:rsid w:val="00A412CF"/>
    <w:rsid w:val="00A43705"/>
    <w:rsid w:val="00A50DE1"/>
    <w:rsid w:val="00A60EDB"/>
    <w:rsid w:val="00A61A19"/>
    <w:rsid w:val="00A71382"/>
    <w:rsid w:val="00A800AC"/>
    <w:rsid w:val="00A8172B"/>
    <w:rsid w:val="00A90B6F"/>
    <w:rsid w:val="00A9322C"/>
    <w:rsid w:val="00A96549"/>
    <w:rsid w:val="00AA7963"/>
    <w:rsid w:val="00AB3574"/>
    <w:rsid w:val="00AB58F0"/>
    <w:rsid w:val="00AC60FC"/>
    <w:rsid w:val="00AD1E79"/>
    <w:rsid w:val="00AD7BC1"/>
    <w:rsid w:val="00AF08F7"/>
    <w:rsid w:val="00AF2BFC"/>
    <w:rsid w:val="00B006C1"/>
    <w:rsid w:val="00B05891"/>
    <w:rsid w:val="00B138CB"/>
    <w:rsid w:val="00B233DA"/>
    <w:rsid w:val="00B24366"/>
    <w:rsid w:val="00B32938"/>
    <w:rsid w:val="00B37910"/>
    <w:rsid w:val="00B37998"/>
    <w:rsid w:val="00B42562"/>
    <w:rsid w:val="00B6254E"/>
    <w:rsid w:val="00B83FA9"/>
    <w:rsid w:val="00B951A1"/>
    <w:rsid w:val="00BA25DD"/>
    <w:rsid w:val="00BA3B71"/>
    <w:rsid w:val="00BA67B0"/>
    <w:rsid w:val="00BB08CC"/>
    <w:rsid w:val="00BB0D71"/>
    <w:rsid w:val="00BC04E0"/>
    <w:rsid w:val="00BC5532"/>
    <w:rsid w:val="00BD1183"/>
    <w:rsid w:val="00C04E9F"/>
    <w:rsid w:val="00C17B6E"/>
    <w:rsid w:val="00C20DC0"/>
    <w:rsid w:val="00C248AD"/>
    <w:rsid w:val="00C61F66"/>
    <w:rsid w:val="00C64281"/>
    <w:rsid w:val="00C776A1"/>
    <w:rsid w:val="00C814B5"/>
    <w:rsid w:val="00C81B42"/>
    <w:rsid w:val="00C94F7C"/>
    <w:rsid w:val="00C95795"/>
    <w:rsid w:val="00CA587E"/>
    <w:rsid w:val="00CB158A"/>
    <w:rsid w:val="00CB4D47"/>
    <w:rsid w:val="00CC467B"/>
    <w:rsid w:val="00CD5239"/>
    <w:rsid w:val="00CE3160"/>
    <w:rsid w:val="00CE3911"/>
    <w:rsid w:val="00CE71D5"/>
    <w:rsid w:val="00CF5D92"/>
    <w:rsid w:val="00CF67FC"/>
    <w:rsid w:val="00D01758"/>
    <w:rsid w:val="00D037BD"/>
    <w:rsid w:val="00D12C8A"/>
    <w:rsid w:val="00D137EC"/>
    <w:rsid w:val="00D159E2"/>
    <w:rsid w:val="00D20C50"/>
    <w:rsid w:val="00D26158"/>
    <w:rsid w:val="00D30791"/>
    <w:rsid w:val="00D32953"/>
    <w:rsid w:val="00D35A41"/>
    <w:rsid w:val="00D46B9B"/>
    <w:rsid w:val="00D53D2B"/>
    <w:rsid w:val="00D567C6"/>
    <w:rsid w:val="00D61638"/>
    <w:rsid w:val="00D7513F"/>
    <w:rsid w:val="00D90836"/>
    <w:rsid w:val="00D9718A"/>
    <w:rsid w:val="00DA0705"/>
    <w:rsid w:val="00DB6A29"/>
    <w:rsid w:val="00DB7675"/>
    <w:rsid w:val="00DD298D"/>
    <w:rsid w:val="00DE2E77"/>
    <w:rsid w:val="00DF3103"/>
    <w:rsid w:val="00E06A34"/>
    <w:rsid w:val="00E101C2"/>
    <w:rsid w:val="00E14EA8"/>
    <w:rsid w:val="00E16D84"/>
    <w:rsid w:val="00E213B0"/>
    <w:rsid w:val="00E2747D"/>
    <w:rsid w:val="00E4134C"/>
    <w:rsid w:val="00E46A19"/>
    <w:rsid w:val="00E47DD2"/>
    <w:rsid w:val="00E50122"/>
    <w:rsid w:val="00E636C1"/>
    <w:rsid w:val="00E63776"/>
    <w:rsid w:val="00E830B9"/>
    <w:rsid w:val="00E9239F"/>
    <w:rsid w:val="00E943A2"/>
    <w:rsid w:val="00EA113E"/>
    <w:rsid w:val="00EA24AD"/>
    <w:rsid w:val="00EA45E5"/>
    <w:rsid w:val="00EA7843"/>
    <w:rsid w:val="00EB37C2"/>
    <w:rsid w:val="00EB771F"/>
    <w:rsid w:val="00EC4108"/>
    <w:rsid w:val="00ED2434"/>
    <w:rsid w:val="00ED60E5"/>
    <w:rsid w:val="00ED62CD"/>
    <w:rsid w:val="00EE08CA"/>
    <w:rsid w:val="00EF72AF"/>
    <w:rsid w:val="00F003A4"/>
    <w:rsid w:val="00F0078A"/>
    <w:rsid w:val="00F01C10"/>
    <w:rsid w:val="00F046B1"/>
    <w:rsid w:val="00F07140"/>
    <w:rsid w:val="00F1287C"/>
    <w:rsid w:val="00F20AA5"/>
    <w:rsid w:val="00F22A08"/>
    <w:rsid w:val="00F279BF"/>
    <w:rsid w:val="00F3150D"/>
    <w:rsid w:val="00F436CB"/>
    <w:rsid w:val="00F52707"/>
    <w:rsid w:val="00F55192"/>
    <w:rsid w:val="00F6176A"/>
    <w:rsid w:val="00F63D6B"/>
    <w:rsid w:val="00F67754"/>
    <w:rsid w:val="00F73630"/>
    <w:rsid w:val="00F863F2"/>
    <w:rsid w:val="00F9337D"/>
    <w:rsid w:val="00FA224A"/>
    <w:rsid w:val="00FA3E77"/>
    <w:rsid w:val="00FC3BBF"/>
    <w:rsid w:val="00FC58E6"/>
    <w:rsid w:val="00FD00BF"/>
    <w:rsid w:val="00FD44F3"/>
    <w:rsid w:val="00FE0633"/>
    <w:rsid w:val="00FE1EA0"/>
    <w:rsid w:val="00FE20D8"/>
    <w:rsid w:val="00FE5DDC"/>
    <w:rsid w:val="00FF271F"/>
    <w:rsid w:val="00FF31AE"/>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99"/>
    <w:qFormat/>
    <w:rsid w:val="00EB771F"/>
    <w:rPr>
      <w:rFonts w:ascii="Calibri" w:hAnsi="Calibri"/>
      <w:sz w:val="22"/>
      <w:szCs w:val="22"/>
    </w:rPr>
  </w:style>
  <w:style w:type="character" w:customStyle="1" w:styleId="NoSpacingChar">
    <w:name w:val="No Spacing Char"/>
    <w:link w:val="NoSpacing"/>
    <w:uiPriority w:val="99"/>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ED6E-F344-4CFE-B9D1-BE106E83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15</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2544</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Mills, Joanne</cp:lastModifiedBy>
  <cp:revision>5</cp:revision>
  <cp:lastPrinted>2016-02-18T10:32:00Z</cp:lastPrinted>
  <dcterms:created xsi:type="dcterms:W3CDTF">2016-02-23T15:05:00Z</dcterms:created>
  <dcterms:modified xsi:type="dcterms:W3CDTF">2016-03-02T08:48:00Z</dcterms:modified>
</cp:coreProperties>
</file>